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6C09F">
      <w:pPr>
        <w:jc w:val="center"/>
        <w:rPr>
          <w:b/>
          <w:bCs/>
          <w:sz w:val="32"/>
          <w:szCs w:val="32"/>
        </w:rPr>
      </w:pPr>
      <w:r>
        <w:rPr>
          <w:rFonts w:hint="eastAsia"/>
          <w:b/>
          <w:bCs/>
          <w:sz w:val="32"/>
          <w:szCs w:val="32"/>
        </w:rPr>
        <w:t>破产债权申报须知</w:t>
      </w:r>
    </w:p>
    <w:p w14:paraId="21B2A5C9">
      <w:pPr>
        <w:spacing w:line="360" w:lineRule="auto"/>
        <w:ind w:firstLine="420" w:firstLineChars="200"/>
        <w:rPr>
          <w:szCs w:val="21"/>
        </w:rPr>
      </w:pPr>
    </w:p>
    <w:p w14:paraId="1A0F026D">
      <w:pPr>
        <w:spacing w:line="360" w:lineRule="auto"/>
        <w:ind w:firstLine="420" w:firstLineChars="200"/>
        <w:rPr>
          <w:szCs w:val="21"/>
        </w:rPr>
      </w:pPr>
    </w:p>
    <w:p w14:paraId="36351E7B">
      <w:pPr>
        <w:spacing w:line="360" w:lineRule="auto"/>
        <w:ind w:firstLine="420" w:firstLineChars="200"/>
        <w:rPr>
          <w:rFonts w:hint="eastAsia"/>
          <w:szCs w:val="21"/>
        </w:rPr>
      </w:pPr>
      <w:r>
        <w:rPr>
          <w:rFonts w:hint="eastAsia"/>
          <w:szCs w:val="21"/>
        </w:rPr>
        <w:t>宁波市</w:t>
      </w:r>
      <w:r>
        <w:rPr>
          <w:rFonts w:hint="eastAsia"/>
          <w:szCs w:val="21"/>
          <w:lang w:val="en-US" w:eastAsia="zh-CN"/>
        </w:rPr>
        <w:t>奉化区</w:t>
      </w:r>
      <w:r>
        <w:rPr>
          <w:rFonts w:hint="eastAsia"/>
          <w:szCs w:val="21"/>
        </w:rPr>
        <w:t>人民法院</w:t>
      </w:r>
      <w:r>
        <w:rPr>
          <w:rFonts w:hint="eastAsia"/>
          <w:szCs w:val="21"/>
          <w:lang w:eastAsia="zh-CN"/>
        </w:rPr>
        <w:t>根据</w:t>
      </w:r>
      <w:r>
        <w:rPr>
          <w:rFonts w:hint="eastAsia"/>
          <w:szCs w:val="21"/>
          <w:lang w:val="en-US" w:eastAsia="zh-CN"/>
        </w:rPr>
        <w:t>宁波市满祥建材贸易有限公司</w:t>
      </w:r>
      <w:r>
        <w:rPr>
          <w:rFonts w:hint="eastAsia"/>
          <w:szCs w:val="21"/>
          <w:lang w:eastAsia="zh-CN"/>
        </w:rPr>
        <w:t>的申请</w:t>
      </w:r>
      <w:r>
        <w:rPr>
          <w:rFonts w:hint="eastAsia"/>
          <w:szCs w:val="21"/>
        </w:rPr>
        <w:t>于</w:t>
      </w:r>
      <w:r>
        <w:rPr>
          <w:rFonts w:hint="eastAsia"/>
          <w:szCs w:val="21"/>
          <w:lang w:val="en-US" w:eastAsia="zh-CN"/>
        </w:rPr>
        <w:t>2025</w:t>
      </w:r>
      <w:r>
        <w:rPr>
          <w:rFonts w:hint="eastAsia"/>
          <w:szCs w:val="21"/>
        </w:rPr>
        <w:t>年</w:t>
      </w:r>
      <w:r>
        <w:rPr>
          <w:rFonts w:hint="eastAsia"/>
          <w:szCs w:val="21"/>
          <w:lang w:val="en-US" w:eastAsia="zh-CN"/>
        </w:rPr>
        <w:t>3</w:t>
      </w:r>
      <w:r>
        <w:rPr>
          <w:rFonts w:hint="eastAsia"/>
          <w:szCs w:val="21"/>
        </w:rPr>
        <w:t>月</w:t>
      </w:r>
      <w:r>
        <w:rPr>
          <w:rFonts w:hint="eastAsia"/>
          <w:szCs w:val="21"/>
          <w:lang w:val="en-US" w:eastAsia="zh-CN"/>
        </w:rPr>
        <w:t>4</w:t>
      </w:r>
      <w:r>
        <w:rPr>
          <w:rFonts w:hint="eastAsia"/>
          <w:szCs w:val="21"/>
        </w:rPr>
        <w:t>日作出（20</w:t>
      </w:r>
      <w:r>
        <w:rPr>
          <w:rFonts w:hint="eastAsia"/>
          <w:szCs w:val="21"/>
          <w:lang w:val="en-US" w:eastAsia="zh-CN"/>
        </w:rPr>
        <w:t>25</w:t>
      </w:r>
      <w:r>
        <w:rPr>
          <w:rFonts w:hint="eastAsia"/>
          <w:szCs w:val="21"/>
        </w:rPr>
        <w:t>）浙02</w:t>
      </w:r>
      <w:r>
        <w:rPr>
          <w:rFonts w:hint="eastAsia"/>
          <w:szCs w:val="21"/>
          <w:lang w:val="en-US" w:eastAsia="zh-CN"/>
        </w:rPr>
        <w:t>13</w:t>
      </w:r>
      <w:r>
        <w:rPr>
          <w:rFonts w:hint="eastAsia"/>
          <w:szCs w:val="21"/>
        </w:rPr>
        <w:t>破申</w:t>
      </w:r>
      <w:r>
        <w:rPr>
          <w:rFonts w:hint="eastAsia"/>
          <w:szCs w:val="21"/>
          <w:lang w:val="en-US" w:eastAsia="zh-CN"/>
        </w:rPr>
        <w:t>5</w:t>
      </w:r>
      <w:r>
        <w:rPr>
          <w:rFonts w:hint="eastAsia"/>
          <w:szCs w:val="21"/>
        </w:rPr>
        <w:t>号民事裁定书，裁定受理对</w:t>
      </w:r>
      <w:r>
        <w:rPr>
          <w:rFonts w:hint="eastAsia"/>
          <w:szCs w:val="21"/>
          <w:lang w:val="en-US" w:eastAsia="zh-CN"/>
        </w:rPr>
        <w:t>宁波奉化精密铸造厂</w:t>
      </w:r>
      <w:r>
        <w:rPr>
          <w:rFonts w:hint="eastAsia"/>
          <w:szCs w:val="21"/>
        </w:rPr>
        <w:t>的破产清算申请</w:t>
      </w:r>
      <w:r>
        <w:rPr>
          <w:rFonts w:hint="eastAsia"/>
          <w:szCs w:val="21"/>
          <w:lang w:eastAsia="zh-CN"/>
        </w:rPr>
        <w:t>，并于</w:t>
      </w:r>
      <w:r>
        <w:rPr>
          <w:rFonts w:hint="eastAsia"/>
          <w:szCs w:val="21"/>
          <w:lang w:val="en-US" w:eastAsia="zh-CN"/>
        </w:rPr>
        <w:t>同日</w:t>
      </w:r>
      <w:r>
        <w:rPr>
          <w:rFonts w:hint="eastAsia"/>
          <w:szCs w:val="21"/>
        </w:rPr>
        <w:t>指定浙江素豪律师事务所为</w:t>
      </w:r>
      <w:r>
        <w:rPr>
          <w:rFonts w:hint="eastAsia"/>
          <w:szCs w:val="21"/>
          <w:lang w:val="en-US" w:eastAsia="zh-CN"/>
        </w:rPr>
        <w:t>宁波奉化精密铸造厂</w:t>
      </w:r>
      <w:r>
        <w:rPr>
          <w:rFonts w:hint="eastAsia"/>
          <w:szCs w:val="21"/>
        </w:rPr>
        <w:t>管理人。</w:t>
      </w:r>
    </w:p>
    <w:p w14:paraId="13225099">
      <w:pPr>
        <w:spacing w:line="360" w:lineRule="auto"/>
        <w:ind w:firstLine="420" w:firstLineChars="200"/>
        <w:rPr>
          <w:rFonts w:hint="eastAsia"/>
          <w:szCs w:val="21"/>
        </w:rPr>
      </w:pPr>
      <w:r>
        <w:rPr>
          <w:rFonts w:hint="eastAsia"/>
          <w:szCs w:val="21"/>
        </w:rPr>
        <w:t>为明确债权人及利害关系人在债权申报阶段之权利、义务，特作如下须知：</w:t>
      </w:r>
    </w:p>
    <w:p w14:paraId="0B1F2DED">
      <w:pPr>
        <w:pStyle w:val="9"/>
        <w:numPr>
          <w:ilvl w:val="0"/>
          <w:numId w:val="1"/>
        </w:numPr>
        <w:spacing w:line="360" w:lineRule="auto"/>
        <w:ind w:left="0" w:firstLine="31680"/>
        <w:rPr>
          <w:b/>
          <w:bCs/>
          <w:szCs w:val="21"/>
        </w:rPr>
      </w:pPr>
      <w:r>
        <w:rPr>
          <w:rFonts w:hint="eastAsia"/>
          <w:b/>
          <w:bCs/>
          <w:szCs w:val="21"/>
        </w:rPr>
        <w:t>债权申报期</w:t>
      </w:r>
    </w:p>
    <w:p w14:paraId="2B2BAC03">
      <w:pPr>
        <w:pStyle w:val="9"/>
        <w:spacing w:line="360" w:lineRule="auto"/>
        <w:ind w:firstLine="31680"/>
        <w:rPr>
          <w:szCs w:val="21"/>
        </w:rPr>
      </w:pPr>
      <w:r>
        <w:rPr>
          <w:rFonts w:hint="eastAsia"/>
          <w:szCs w:val="21"/>
          <w:lang w:eastAsia="zh-CN"/>
        </w:rPr>
        <w:t>根据</w:t>
      </w:r>
      <w:r>
        <w:rPr>
          <w:rFonts w:hint="eastAsia"/>
          <w:szCs w:val="21"/>
        </w:rPr>
        <w:t>宁波市</w:t>
      </w:r>
      <w:r>
        <w:rPr>
          <w:rFonts w:hint="eastAsia"/>
          <w:szCs w:val="21"/>
          <w:lang w:val="en-US" w:eastAsia="zh-CN"/>
        </w:rPr>
        <w:t>奉化区</w:t>
      </w:r>
      <w:r>
        <w:rPr>
          <w:rFonts w:hint="eastAsia"/>
          <w:szCs w:val="21"/>
        </w:rPr>
        <w:t>人民法</w:t>
      </w:r>
      <w:r>
        <w:rPr>
          <w:rFonts w:hint="eastAsia" w:ascii="Calibri" w:hAnsi="Calibri" w:eastAsia="宋体" w:cs="Times New Roman"/>
          <w:kern w:val="2"/>
          <w:sz w:val="21"/>
          <w:szCs w:val="21"/>
          <w:lang w:val="en-US" w:eastAsia="zh-CN" w:bidi="ar-SA"/>
        </w:rPr>
        <w:t>院（2025）浙0213破12号公告，</w:t>
      </w:r>
      <w:r>
        <w:rPr>
          <w:rFonts w:hint="eastAsia"/>
          <w:szCs w:val="21"/>
        </w:rPr>
        <w:t>为保障债权人利益，债权人应当在宁波市</w:t>
      </w:r>
      <w:r>
        <w:rPr>
          <w:rFonts w:hint="eastAsia"/>
          <w:szCs w:val="21"/>
          <w:lang w:val="en-US" w:eastAsia="zh-CN"/>
        </w:rPr>
        <w:t>奉化区</w:t>
      </w:r>
      <w:r>
        <w:rPr>
          <w:rFonts w:hint="eastAsia"/>
          <w:szCs w:val="21"/>
        </w:rPr>
        <w:t>人民法院公告规定的申报期限内（20</w:t>
      </w:r>
      <w:r>
        <w:rPr>
          <w:rFonts w:hint="eastAsia"/>
          <w:szCs w:val="21"/>
          <w:lang w:val="en-US" w:eastAsia="zh-CN"/>
        </w:rPr>
        <w:t>25</w:t>
      </w:r>
      <w:r>
        <w:rPr>
          <w:rFonts w:hint="eastAsia"/>
          <w:szCs w:val="21"/>
        </w:rPr>
        <w:t>年</w:t>
      </w:r>
      <w:r>
        <w:rPr>
          <w:rFonts w:hint="eastAsia"/>
          <w:szCs w:val="21"/>
          <w:lang w:val="en-US" w:eastAsia="zh-CN"/>
        </w:rPr>
        <w:t>4</w:t>
      </w:r>
      <w:r>
        <w:rPr>
          <w:rFonts w:hint="eastAsia"/>
          <w:szCs w:val="21"/>
        </w:rPr>
        <w:t>月</w:t>
      </w:r>
      <w:r>
        <w:rPr>
          <w:rFonts w:hint="eastAsia"/>
          <w:szCs w:val="21"/>
          <w:lang w:val="en-US" w:eastAsia="zh-CN"/>
        </w:rPr>
        <w:t>14</w:t>
      </w:r>
      <w:r>
        <w:rPr>
          <w:rFonts w:hint="eastAsia"/>
          <w:szCs w:val="21"/>
        </w:rPr>
        <w:t>日前）完成债权申报。</w:t>
      </w:r>
    </w:p>
    <w:p w14:paraId="73BA89C0">
      <w:pPr>
        <w:pStyle w:val="9"/>
        <w:numPr>
          <w:ilvl w:val="0"/>
          <w:numId w:val="1"/>
        </w:numPr>
        <w:spacing w:line="360" w:lineRule="auto"/>
        <w:ind w:left="0" w:firstLine="31680"/>
        <w:rPr>
          <w:b/>
          <w:bCs/>
          <w:szCs w:val="21"/>
        </w:rPr>
      </w:pPr>
      <w:r>
        <w:rPr>
          <w:rFonts w:hint="eastAsia"/>
          <w:b/>
          <w:bCs/>
          <w:szCs w:val="21"/>
        </w:rPr>
        <w:t>债权申报注意事项</w:t>
      </w:r>
    </w:p>
    <w:p w14:paraId="56F9E582">
      <w:pPr>
        <w:pStyle w:val="9"/>
        <w:spacing w:line="360" w:lineRule="auto"/>
        <w:ind w:firstLine="31680"/>
        <w:rPr>
          <w:szCs w:val="21"/>
        </w:rPr>
      </w:pPr>
      <w:r>
        <w:rPr>
          <w:rFonts w:hint="eastAsia"/>
          <w:szCs w:val="21"/>
        </w:rPr>
        <w:t>根据《企业破产法》的规定，破产债权是指人民法院受理破产申请时对债务人享有的债权。债权人在申报债权时应当注意以下几点：</w:t>
      </w:r>
    </w:p>
    <w:p w14:paraId="3AEBF2E6">
      <w:pPr>
        <w:pStyle w:val="9"/>
        <w:numPr>
          <w:ilvl w:val="0"/>
          <w:numId w:val="2"/>
        </w:numPr>
        <w:spacing w:line="360" w:lineRule="auto"/>
        <w:ind w:firstLine="31680"/>
        <w:rPr>
          <w:szCs w:val="21"/>
        </w:rPr>
      </w:pPr>
      <w:r>
        <w:rPr>
          <w:rFonts w:hint="eastAsia"/>
          <w:szCs w:val="21"/>
        </w:rPr>
        <w:t>未到期的债权，在破产申请受理时视为债权到期。</w:t>
      </w:r>
    </w:p>
    <w:p w14:paraId="524F19B6">
      <w:pPr>
        <w:pStyle w:val="9"/>
        <w:numPr>
          <w:ilvl w:val="0"/>
          <w:numId w:val="2"/>
        </w:numPr>
        <w:spacing w:line="360" w:lineRule="auto"/>
        <w:ind w:firstLine="31680"/>
        <w:rPr>
          <w:szCs w:val="21"/>
        </w:rPr>
      </w:pPr>
      <w:r>
        <w:rPr>
          <w:rFonts w:hint="eastAsia"/>
          <w:szCs w:val="21"/>
        </w:rPr>
        <w:t>附利息的债权，自破产申请受理时起停止计算，即利息计算到破产申请受理前一日20</w:t>
      </w:r>
      <w:r>
        <w:rPr>
          <w:rFonts w:hint="eastAsia"/>
          <w:szCs w:val="21"/>
          <w:lang w:val="en-US" w:eastAsia="zh-CN"/>
        </w:rPr>
        <w:t>25</w:t>
      </w:r>
      <w:r>
        <w:rPr>
          <w:rFonts w:hint="eastAsia"/>
          <w:szCs w:val="21"/>
        </w:rPr>
        <w:t>年</w:t>
      </w:r>
      <w:r>
        <w:rPr>
          <w:rFonts w:hint="eastAsia"/>
          <w:szCs w:val="21"/>
          <w:lang w:val="en-US" w:eastAsia="zh-CN"/>
        </w:rPr>
        <w:t>3</w:t>
      </w:r>
      <w:r>
        <w:rPr>
          <w:rFonts w:hint="eastAsia"/>
          <w:szCs w:val="21"/>
        </w:rPr>
        <w:t>月</w:t>
      </w:r>
      <w:r>
        <w:rPr>
          <w:rFonts w:hint="eastAsia"/>
          <w:szCs w:val="21"/>
          <w:lang w:val="en-US" w:eastAsia="zh-CN"/>
        </w:rPr>
        <w:t>3</w:t>
      </w:r>
      <w:r>
        <w:rPr>
          <w:rFonts w:hint="eastAsia"/>
          <w:szCs w:val="21"/>
        </w:rPr>
        <w:t>日止。</w:t>
      </w:r>
    </w:p>
    <w:p w14:paraId="0432EF25">
      <w:pPr>
        <w:pStyle w:val="9"/>
        <w:numPr>
          <w:ilvl w:val="0"/>
          <w:numId w:val="2"/>
        </w:numPr>
        <w:spacing w:line="360" w:lineRule="auto"/>
        <w:ind w:firstLine="31680"/>
        <w:rPr>
          <w:szCs w:val="21"/>
        </w:rPr>
      </w:pPr>
      <w:r>
        <w:rPr>
          <w:rFonts w:hint="eastAsia"/>
          <w:szCs w:val="21"/>
        </w:rPr>
        <w:t>附条件、附期限的债权和诉讼、仲裁未决的债权，债权人可以申报。</w:t>
      </w:r>
    </w:p>
    <w:p w14:paraId="1368A910">
      <w:pPr>
        <w:pStyle w:val="9"/>
        <w:numPr>
          <w:ilvl w:val="0"/>
          <w:numId w:val="2"/>
        </w:numPr>
        <w:spacing w:line="360" w:lineRule="auto"/>
        <w:ind w:firstLine="31680"/>
        <w:rPr>
          <w:szCs w:val="21"/>
        </w:rPr>
      </w:pPr>
      <w:r>
        <w:rPr>
          <w:rFonts w:hint="eastAsia"/>
          <w:szCs w:val="21"/>
        </w:rPr>
        <w:t>债权人申报债权时，应当书面说明债权的数额和有无财产担保情况，并提交有关证据；申报的债权是连带债权的，应当说明。</w:t>
      </w:r>
    </w:p>
    <w:p w14:paraId="67681984">
      <w:pPr>
        <w:pStyle w:val="9"/>
        <w:numPr>
          <w:ilvl w:val="0"/>
          <w:numId w:val="2"/>
        </w:numPr>
        <w:spacing w:line="360" w:lineRule="auto"/>
        <w:ind w:firstLine="31680"/>
        <w:rPr>
          <w:szCs w:val="21"/>
        </w:rPr>
      </w:pPr>
      <w:r>
        <w:rPr>
          <w:rFonts w:hint="eastAsia"/>
          <w:szCs w:val="21"/>
        </w:rPr>
        <w:t>连带债权人可以由其中一人代表全体连带债权人申报债权，也可以共同申报债权。</w:t>
      </w:r>
    </w:p>
    <w:p w14:paraId="183965C7">
      <w:pPr>
        <w:pStyle w:val="9"/>
        <w:numPr>
          <w:ilvl w:val="0"/>
          <w:numId w:val="2"/>
        </w:numPr>
        <w:spacing w:line="360" w:lineRule="auto"/>
        <w:ind w:firstLine="31680"/>
        <w:rPr>
          <w:szCs w:val="21"/>
        </w:rPr>
      </w:pPr>
      <w:r>
        <w:rPr>
          <w:rFonts w:hint="eastAsia"/>
          <w:szCs w:val="21"/>
        </w:rPr>
        <w:t>连带债务人数人被裁定适用本法规定的程序的，其债权人有权就全部债权分别在各破产案件中申报债权，但债权人应当向管理人说明申报情况及清偿情况。</w:t>
      </w:r>
    </w:p>
    <w:p w14:paraId="281745F2">
      <w:pPr>
        <w:pStyle w:val="9"/>
        <w:numPr>
          <w:ilvl w:val="0"/>
          <w:numId w:val="2"/>
        </w:numPr>
        <w:spacing w:line="360" w:lineRule="auto"/>
        <w:ind w:firstLine="31680"/>
        <w:rPr>
          <w:szCs w:val="21"/>
        </w:rPr>
      </w:pPr>
      <w:r>
        <w:rPr>
          <w:rFonts w:hint="eastAsia"/>
          <w:szCs w:val="21"/>
        </w:rPr>
        <w:t>债务人的保证人或者其他连带债务人已经代替债务人清偿债务的，可就其对债务人的求偿权申报债权。</w:t>
      </w:r>
    </w:p>
    <w:p w14:paraId="56ECF5B2">
      <w:pPr>
        <w:pStyle w:val="9"/>
        <w:numPr>
          <w:ilvl w:val="0"/>
          <w:numId w:val="2"/>
        </w:numPr>
        <w:spacing w:line="360" w:lineRule="auto"/>
        <w:ind w:firstLine="31680"/>
        <w:rPr>
          <w:szCs w:val="21"/>
        </w:rPr>
      </w:pPr>
      <w:r>
        <w:rPr>
          <w:rFonts w:hint="eastAsia"/>
          <w:szCs w:val="21"/>
        </w:rPr>
        <w:t>债务人的保证人或者其他连带债务人尚未代替债务人清偿债务的，以其对债务人的将来求偿权申报债权，但债权人已经向管理人申报全部债权的除外。</w:t>
      </w:r>
    </w:p>
    <w:p w14:paraId="0810504D">
      <w:pPr>
        <w:pStyle w:val="9"/>
        <w:numPr>
          <w:ilvl w:val="0"/>
          <w:numId w:val="2"/>
        </w:numPr>
        <w:spacing w:line="360" w:lineRule="auto"/>
        <w:ind w:firstLine="31680"/>
        <w:rPr>
          <w:szCs w:val="21"/>
        </w:rPr>
      </w:pPr>
      <w:r>
        <w:rPr>
          <w:rFonts w:hint="eastAsia"/>
          <w:szCs w:val="21"/>
        </w:rPr>
        <w:t>管理人或者债务人依照《企业破产法》规定解除合同的，对方当事人以因合同解除所产生的损害赔偿请求权申报债权。</w:t>
      </w:r>
    </w:p>
    <w:p w14:paraId="4BB4C7A5">
      <w:pPr>
        <w:pStyle w:val="9"/>
        <w:numPr>
          <w:ilvl w:val="0"/>
          <w:numId w:val="2"/>
        </w:numPr>
        <w:spacing w:line="360" w:lineRule="auto"/>
        <w:ind w:firstLine="31680"/>
        <w:rPr>
          <w:szCs w:val="21"/>
        </w:rPr>
      </w:pPr>
      <w:r>
        <w:rPr>
          <w:rFonts w:hint="eastAsia"/>
          <w:szCs w:val="21"/>
        </w:rPr>
        <w:t>债务人是委托合同的委托人，被裁定适用《企业破产法》规定的程序，受托人不知该事实，继续处理委托事务的，受托人以由此产生的请求权申报债权。</w:t>
      </w:r>
    </w:p>
    <w:p w14:paraId="57DE476E">
      <w:pPr>
        <w:pStyle w:val="9"/>
        <w:numPr>
          <w:ilvl w:val="0"/>
          <w:numId w:val="2"/>
        </w:numPr>
        <w:spacing w:line="360" w:lineRule="auto"/>
        <w:ind w:firstLine="31680"/>
        <w:rPr>
          <w:szCs w:val="21"/>
        </w:rPr>
      </w:pPr>
      <w:r>
        <w:rPr>
          <w:rFonts w:hint="eastAsia"/>
          <w:szCs w:val="21"/>
        </w:rPr>
        <w:t>债务人是票据的出票人，被裁定适用《企业破产法》规定的程序，该票据的付款人继续付款或者承兑的，付款人以由此产生的请求权申报债权。</w:t>
      </w:r>
    </w:p>
    <w:p w14:paraId="102670DC">
      <w:pPr>
        <w:pStyle w:val="9"/>
        <w:numPr>
          <w:ilvl w:val="0"/>
          <w:numId w:val="2"/>
        </w:numPr>
        <w:spacing w:line="360" w:lineRule="auto"/>
        <w:ind w:firstLine="31680"/>
        <w:rPr>
          <w:szCs w:val="21"/>
        </w:rPr>
      </w:pPr>
      <w:r>
        <w:rPr>
          <w:rFonts w:hint="eastAsia"/>
          <w:szCs w:val="21"/>
        </w:rPr>
        <w:t>法律规定其他可以申报的债权，债权人可以申报。</w:t>
      </w:r>
    </w:p>
    <w:p w14:paraId="4823CBCC">
      <w:pPr>
        <w:pStyle w:val="9"/>
        <w:numPr>
          <w:ilvl w:val="0"/>
          <w:numId w:val="1"/>
        </w:numPr>
        <w:spacing w:line="360" w:lineRule="auto"/>
        <w:ind w:left="0" w:firstLine="31680"/>
        <w:rPr>
          <w:b/>
          <w:bCs/>
          <w:szCs w:val="21"/>
        </w:rPr>
      </w:pPr>
      <w:r>
        <w:rPr>
          <w:rFonts w:hint="eastAsia"/>
          <w:b/>
          <w:bCs/>
          <w:szCs w:val="21"/>
        </w:rPr>
        <w:t>未申报或逾期申报法律后果</w:t>
      </w:r>
    </w:p>
    <w:p w14:paraId="349787CF">
      <w:pPr>
        <w:pStyle w:val="9"/>
        <w:spacing w:line="360" w:lineRule="auto"/>
        <w:ind w:left="420" w:leftChars="200" w:firstLine="0" w:firstLineChars="0"/>
        <w:rPr>
          <w:szCs w:val="21"/>
        </w:rPr>
      </w:pPr>
      <w:r>
        <w:rPr>
          <w:rFonts w:hint="eastAsia"/>
          <w:szCs w:val="21"/>
        </w:rPr>
        <w:t>根据《企业破产法》规定，未申报或逾期申报债权的法律后果主要包括：</w:t>
      </w:r>
    </w:p>
    <w:p w14:paraId="74CDE013">
      <w:pPr>
        <w:pStyle w:val="9"/>
        <w:numPr>
          <w:ilvl w:val="0"/>
          <w:numId w:val="3"/>
        </w:numPr>
        <w:spacing w:line="360" w:lineRule="auto"/>
        <w:ind w:firstLine="31680"/>
        <w:rPr>
          <w:szCs w:val="21"/>
        </w:rPr>
      </w:pPr>
      <w:r>
        <w:rPr>
          <w:rFonts w:hint="eastAsia"/>
          <w:szCs w:val="21"/>
        </w:rPr>
        <w:t>债权人未申报债权，不得依照《企业破产法》规定的程序行使权利。</w:t>
      </w:r>
    </w:p>
    <w:p w14:paraId="77918B55">
      <w:pPr>
        <w:pStyle w:val="9"/>
        <w:numPr>
          <w:ilvl w:val="0"/>
          <w:numId w:val="3"/>
        </w:numPr>
        <w:spacing w:line="360" w:lineRule="auto"/>
        <w:ind w:firstLine="31680"/>
        <w:rPr>
          <w:rFonts w:hint="eastAsia"/>
          <w:szCs w:val="21"/>
        </w:rPr>
      </w:pPr>
      <w:r>
        <w:rPr>
          <w:rFonts w:hint="eastAsia"/>
          <w:szCs w:val="21"/>
        </w:rPr>
        <w:t>债权人未按期申报，已分配的财产不对其补充分配，即</w:t>
      </w:r>
      <w:r>
        <w:rPr>
          <w:rFonts w:hint="eastAsia"/>
          <w:szCs w:val="21"/>
          <w:lang w:val="en-US" w:eastAsia="zh-CN"/>
        </w:rPr>
        <w:t>在破产财产分配方案提交债权人会议讨论前补充申报</w:t>
      </w:r>
      <w:r>
        <w:rPr>
          <w:rFonts w:hint="eastAsia"/>
          <w:szCs w:val="21"/>
        </w:rPr>
        <w:t>，此前已进行的分配仍不再补充分配，且债权人还应该承担因审查、确认补充债权产生的相关费用。</w:t>
      </w:r>
    </w:p>
    <w:p w14:paraId="5151C535">
      <w:pPr>
        <w:pStyle w:val="9"/>
        <w:numPr>
          <w:ilvl w:val="0"/>
          <w:numId w:val="3"/>
        </w:numPr>
        <w:spacing w:line="360" w:lineRule="auto"/>
        <w:ind w:firstLine="31680"/>
        <w:rPr>
          <w:szCs w:val="21"/>
        </w:rPr>
      </w:pPr>
      <w:r>
        <w:rPr>
          <w:rFonts w:hint="eastAsia"/>
          <w:szCs w:val="21"/>
        </w:rPr>
        <w:t>如债务人进入重整程序，债权人未按期申报债权，在重整计划执行期间债权人不得行使权利；在重整计划执行完毕后，债权人可以按照重整计划规定的同类债权的清偿条件行使权利。</w:t>
      </w:r>
    </w:p>
    <w:p w14:paraId="70D6F5B7">
      <w:pPr>
        <w:pStyle w:val="9"/>
        <w:numPr>
          <w:ilvl w:val="0"/>
          <w:numId w:val="3"/>
        </w:numPr>
        <w:spacing w:line="360" w:lineRule="auto"/>
        <w:ind w:firstLine="31680"/>
        <w:rPr>
          <w:szCs w:val="21"/>
        </w:rPr>
      </w:pPr>
      <w:r>
        <w:rPr>
          <w:rFonts w:hint="eastAsia"/>
          <w:szCs w:val="21"/>
        </w:rPr>
        <w:t>如债务人进入破产和解程序，债权人未按期申报债权，在和解协议计划执行期间债权人不得行使权利；债权人在和解协议执行完毕后，可以按照和解协议规定的清偿条件行使权利。</w:t>
      </w:r>
    </w:p>
    <w:p w14:paraId="2579F003">
      <w:pPr>
        <w:pStyle w:val="9"/>
        <w:numPr>
          <w:ilvl w:val="0"/>
          <w:numId w:val="1"/>
        </w:numPr>
        <w:spacing w:line="360" w:lineRule="auto"/>
        <w:ind w:left="0" w:firstLine="31680"/>
        <w:rPr>
          <w:b/>
          <w:bCs/>
          <w:szCs w:val="21"/>
        </w:rPr>
      </w:pPr>
      <w:r>
        <w:rPr>
          <w:rFonts w:hint="eastAsia"/>
          <w:b/>
          <w:bCs/>
          <w:szCs w:val="21"/>
        </w:rPr>
        <w:t>债权申报应提交的材料</w:t>
      </w:r>
    </w:p>
    <w:p w14:paraId="5C30D874">
      <w:pPr>
        <w:pStyle w:val="9"/>
        <w:spacing w:line="360" w:lineRule="auto"/>
        <w:ind w:firstLine="31680"/>
        <w:rPr>
          <w:szCs w:val="21"/>
        </w:rPr>
      </w:pPr>
      <w:r>
        <w:rPr>
          <w:rFonts w:hint="eastAsia"/>
          <w:szCs w:val="21"/>
        </w:rPr>
        <w:t>申报人应当如实、详细填写《债权申报表》以及提供完整、真实有效的申报材料。申报债权应提供如下材料：</w:t>
      </w:r>
    </w:p>
    <w:p w14:paraId="431A40F0">
      <w:pPr>
        <w:pStyle w:val="9"/>
        <w:numPr>
          <w:ilvl w:val="0"/>
          <w:numId w:val="4"/>
        </w:numPr>
        <w:spacing w:line="360" w:lineRule="auto"/>
        <w:ind w:firstLine="31680"/>
        <w:rPr>
          <w:szCs w:val="21"/>
        </w:rPr>
      </w:pPr>
      <w:r>
        <w:rPr>
          <w:rFonts w:hint="eastAsia"/>
          <w:szCs w:val="21"/>
        </w:rPr>
        <w:t>《债权申报提交文件清单》</w:t>
      </w:r>
      <w:r>
        <w:rPr>
          <w:rFonts w:hint="eastAsia"/>
          <w:b/>
          <w:bCs/>
          <w:szCs w:val="21"/>
          <w:u w:val="single"/>
        </w:rPr>
        <w:t>一式二份</w:t>
      </w:r>
    </w:p>
    <w:p w14:paraId="3449C73F">
      <w:pPr>
        <w:spacing w:line="360" w:lineRule="auto"/>
        <w:ind w:firstLine="420" w:firstLineChars="200"/>
        <w:rPr>
          <w:szCs w:val="21"/>
        </w:rPr>
      </w:pPr>
      <w:r>
        <w:rPr>
          <w:rFonts w:hint="eastAsia"/>
          <w:szCs w:val="21"/>
        </w:rPr>
        <w:t>申报提交文件清单应为原件（债权人盖章或签字），清单上应填写相应内容。</w:t>
      </w:r>
    </w:p>
    <w:p w14:paraId="1DB470C8">
      <w:pPr>
        <w:pStyle w:val="9"/>
        <w:numPr>
          <w:ilvl w:val="0"/>
          <w:numId w:val="4"/>
        </w:numPr>
        <w:spacing w:line="360" w:lineRule="auto"/>
        <w:ind w:firstLine="31680"/>
        <w:rPr>
          <w:szCs w:val="21"/>
          <w:u w:val="single"/>
        </w:rPr>
      </w:pPr>
      <w:r>
        <w:rPr>
          <w:rFonts w:hint="eastAsia"/>
          <w:szCs w:val="21"/>
        </w:rPr>
        <w:t>债权申报人主体资格的材料</w:t>
      </w:r>
      <w:r>
        <w:rPr>
          <w:rFonts w:hint="eastAsia"/>
          <w:b/>
          <w:bCs/>
          <w:szCs w:val="21"/>
          <w:u w:val="single"/>
        </w:rPr>
        <w:t>一式二份</w:t>
      </w:r>
    </w:p>
    <w:p w14:paraId="58266972">
      <w:pPr>
        <w:pStyle w:val="9"/>
        <w:numPr>
          <w:ilvl w:val="0"/>
          <w:numId w:val="5"/>
        </w:numPr>
        <w:spacing w:line="360" w:lineRule="auto"/>
        <w:ind w:left="0" w:firstLine="31680"/>
        <w:rPr>
          <w:szCs w:val="21"/>
        </w:rPr>
      </w:pPr>
      <w:r>
        <w:rPr>
          <w:rFonts w:hint="eastAsia"/>
          <w:szCs w:val="21"/>
        </w:rPr>
        <w:t>自然人债权人须提交的材料</w:t>
      </w:r>
    </w:p>
    <w:p w14:paraId="75F21A1A">
      <w:pPr>
        <w:spacing w:line="360" w:lineRule="auto"/>
        <w:ind w:firstLine="420" w:firstLineChars="200"/>
        <w:rPr>
          <w:szCs w:val="21"/>
        </w:rPr>
      </w:pPr>
      <w:r>
        <w:rPr>
          <w:rFonts w:hint="eastAsia"/>
          <w:szCs w:val="21"/>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7723D3C1">
      <w:pPr>
        <w:pStyle w:val="9"/>
        <w:numPr>
          <w:ilvl w:val="0"/>
          <w:numId w:val="5"/>
        </w:numPr>
        <w:spacing w:line="360" w:lineRule="auto"/>
        <w:ind w:left="0" w:firstLine="31680"/>
        <w:rPr>
          <w:szCs w:val="21"/>
        </w:rPr>
      </w:pPr>
      <w:r>
        <w:rPr>
          <w:rFonts w:hint="eastAsia"/>
          <w:szCs w:val="21"/>
        </w:rPr>
        <w:t>非自然人（包括法人、其他组织等）债权人须提交的材料：</w:t>
      </w:r>
    </w:p>
    <w:p w14:paraId="152F6E93">
      <w:pPr>
        <w:spacing w:line="360" w:lineRule="auto"/>
        <w:ind w:firstLine="420" w:firstLineChars="200"/>
        <w:rPr>
          <w:szCs w:val="21"/>
        </w:rPr>
      </w:pPr>
      <w:r>
        <w:rPr>
          <w:rFonts w:hint="eastAsia"/>
          <w:szCs w:val="21"/>
        </w:rPr>
        <w:t>有效的营业执照复印件（需加盖公章）、如未五证合一需提交组织机构代码证复印件（加盖公章）、法定代表人或负责人身份证明书原件，法定代表人身份证复印件；如委托代理人申报的，应提交特别授权委托书原件，代理人身份证原件（核对后归还）及复印件（签字确认）。如委托代理人是律师的，应提交律师执业证及复印件和律师事务所公函。</w:t>
      </w:r>
    </w:p>
    <w:p w14:paraId="43C624B4">
      <w:pPr>
        <w:spacing w:line="360" w:lineRule="auto"/>
        <w:ind w:firstLine="420" w:firstLineChars="200"/>
        <w:rPr>
          <w:b/>
          <w:szCs w:val="21"/>
        </w:rPr>
      </w:pPr>
      <w:r>
        <w:rPr>
          <w:b/>
          <w:szCs w:val="21"/>
        </w:rPr>
        <w:tab/>
      </w:r>
      <w:r>
        <w:rPr>
          <w:rFonts w:hint="eastAsia"/>
          <w:b/>
          <w:szCs w:val="21"/>
        </w:rPr>
        <w:t>同时特别提醒：若债权人在申报债权时已提交前述文件，且参加第一次债权人会议时未发生变化的，债权人参加债权人会议时无需再提供前述文件，仅需提供参会人员身份证原件</w:t>
      </w:r>
      <w:r>
        <w:rPr>
          <w:rFonts w:hint="eastAsia"/>
          <w:b/>
          <w:bCs/>
          <w:szCs w:val="21"/>
        </w:rPr>
        <w:t>（核对后归还）</w:t>
      </w:r>
      <w:r>
        <w:rPr>
          <w:rFonts w:hint="eastAsia"/>
          <w:b/>
          <w:szCs w:val="21"/>
        </w:rPr>
        <w:t>。若发生变化，则需提供变更后的前述文件。</w:t>
      </w:r>
    </w:p>
    <w:p w14:paraId="7D3550CD">
      <w:pPr>
        <w:pStyle w:val="9"/>
        <w:numPr>
          <w:ilvl w:val="0"/>
          <w:numId w:val="4"/>
        </w:numPr>
        <w:spacing w:line="360" w:lineRule="auto"/>
        <w:ind w:firstLine="31680"/>
        <w:rPr>
          <w:szCs w:val="21"/>
        </w:rPr>
      </w:pPr>
      <w:r>
        <w:rPr>
          <w:rFonts w:hint="eastAsia"/>
          <w:szCs w:val="21"/>
        </w:rPr>
        <w:t>《债权申报表》</w:t>
      </w:r>
      <w:r>
        <w:rPr>
          <w:rFonts w:hint="eastAsia"/>
          <w:b/>
          <w:bCs/>
          <w:szCs w:val="21"/>
        </w:rPr>
        <w:t>一式二份</w:t>
      </w:r>
    </w:p>
    <w:p w14:paraId="3BF49CFD">
      <w:pPr>
        <w:pStyle w:val="9"/>
        <w:spacing w:line="360" w:lineRule="auto"/>
        <w:ind w:firstLine="31680"/>
        <w:rPr>
          <w:szCs w:val="21"/>
        </w:rPr>
      </w:pPr>
      <w:r>
        <w:rPr>
          <w:rFonts w:hint="eastAsia"/>
          <w:szCs w:val="21"/>
        </w:rPr>
        <w:t>提交的债权申报表须为原件（债权人盖章或签字）</w:t>
      </w:r>
    </w:p>
    <w:p w14:paraId="20B6A944">
      <w:pPr>
        <w:pStyle w:val="9"/>
        <w:numPr>
          <w:ilvl w:val="0"/>
          <w:numId w:val="4"/>
        </w:numPr>
        <w:spacing w:line="360" w:lineRule="auto"/>
        <w:ind w:firstLine="31680"/>
        <w:rPr>
          <w:szCs w:val="21"/>
        </w:rPr>
      </w:pPr>
      <w:r>
        <w:rPr>
          <w:rFonts w:hint="eastAsia"/>
          <w:szCs w:val="21"/>
        </w:rPr>
        <w:t>证明债权事实的相关证据材料</w:t>
      </w:r>
      <w:r>
        <w:rPr>
          <w:rFonts w:hint="eastAsia"/>
          <w:b/>
          <w:bCs/>
          <w:szCs w:val="21"/>
        </w:rPr>
        <w:t>一式二份</w:t>
      </w:r>
    </w:p>
    <w:p w14:paraId="433A4ED1">
      <w:pPr>
        <w:pStyle w:val="9"/>
        <w:numPr>
          <w:ilvl w:val="0"/>
          <w:numId w:val="6"/>
        </w:numPr>
        <w:spacing w:line="360" w:lineRule="auto"/>
        <w:ind w:firstLine="31680"/>
        <w:rPr>
          <w:szCs w:val="21"/>
        </w:rPr>
      </w:pPr>
      <w:r>
        <w:rPr>
          <w:rFonts w:hint="eastAsia"/>
          <w:szCs w:val="21"/>
        </w:rPr>
        <w:t>合同、收款付款凭证、收货单、对账单等各类债权资料；</w:t>
      </w:r>
    </w:p>
    <w:p w14:paraId="5C4146F2">
      <w:pPr>
        <w:pStyle w:val="9"/>
        <w:numPr>
          <w:ilvl w:val="0"/>
          <w:numId w:val="6"/>
        </w:numPr>
        <w:spacing w:line="360" w:lineRule="auto"/>
        <w:ind w:firstLine="31680"/>
        <w:rPr>
          <w:szCs w:val="21"/>
        </w:rPr>
      </w:pPr>
      <w:r>
        <w:rPr>
          <w:rFonts w:hint="eastAsia"/>
          <w:szCs w:val="21"/>
        </w:rPr>
        <w:t>债权如有担保的，还须提交抵押合同、质押合同、保证合同及相关的登记证件等担保原始材料；</w:t>
      </w:r>
    </w:p>
    <w:p w14:paraId="7CA32A2B">
      <w:pPr>
        <w:pStyle w:val="9"/>
        <w:numPr>
          <w:ilvl w:val="0"/>
          <w:numId w:val="6"/>
        </w:numPr>
        <w:spacing w:line="360" w:lineRule="auto"/>
        <w:ind w:firstLine="31680"/>
        <w:rPr>
          <w:szCs w:val="21"/>
        </w:rPr>
      </w:pPr>
      <w:r>
        <w:rPr>
          <w:rFonts w:hint="eastAsia"/>
          <w:szCs w:val="21"/>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60C77654">
      <w:pPr>
        <w:pStyle w:val="9"/>
        <w:numPr>
          <w:ilvl w:val="0"/>
          <w:numId w:val="6"/>
        </w:numPr>
        <w:spacing w:line="360" w:lineRule="auto"/>
        <w:ind w:firstLine="31680"/>
        <w:rPr>
          <w:szCs w:val="21"/>
        </w:rPr>
      </w:pPr>
      <w:r>
        <w:rPr>
          <w:rFonts w:hint="eastAsia"/>
          <w:szCs w:val="21"/>
        </w:rPr>
        <w:t>申报人在诉讼或仲裁程序中申请财产保全的，须提交法院作出的保全裁定书等相关文件；</w:t>
      </w:r>
    </w:p>
    <w:p w14:paraId="1F423947">
      <w:pPr>
        <w:pStyle w:val="9"/>
        <w:numPr>
          <w:ilvl w:val="0"/>
          <w:numId w:val="6"/>
        </w:numPr>
        <w:spacing w:line="360" w:lineRule="auto"/>
        <w:ind w:firstLine="31680"/>
        <w:rPr>
          <w:szCs w:val="21"/>
        </w:rPr>
      </w:pPr>
      <w:r>
        <w:rPr>
          <w:rFonts w:hint="eastAsia"/>
          <w:szCs w:val="21"/>
        </w:rPr>
        <w:t>能够证明债权发生、变更、存续、诉讼时效中止、中断、延长及债权金额的其他材料；</w:t>
      </w:r>
    </w:p>
    <w:p w14:paraId="10B38735">
      <w:pPr>
        <w:pStyle w:val="9"/>
        <w:numPr>
          <w:ilvl w:val="0"/>
          <w:numId w:val="6"/>
        </w:numPr>
        <w:spacing w:line="360" w:lineRule="auto"/>
        <w:ind w:firstLine="31680"/>
        <w:rPr>
          <w:szCs w:val="21"/>
        </w:rPr>
      </w:pPr>
      <w:r>
        <w:rPr>
          <w:rFonts w:hint="eastAsia"/>
          <w:szCs w:val="21"/>
        </w:rPr>
        <w:t>债权如有偿还或其他抵债情形的，则须提供偿债凭证、协议或以物抵债协议等相关材料；</w:t>
      </w:r>
    </w:p>
    <w:p w14:paraId="04F4E5D1">
      <w:pPr>
        <w:pStyle w:val="9"/>
        <w:numPr>
          <w:ilvl w:val="0"/>
          <w:numId w:val="6"/>
        </w:numPr>
        <w:spacing w:line="360" w:lineRule="auto"/>
        <w:ind w:firstLine="31680"/>
        <w:rPr>
          <w:szCs w:val="21"/>
        </w:rPr>
      </w:pPr>
      <w:r>
        <w:rPr>
          <w:rFonts w:hint="eastAsia"/>
          <w:szCs w:val="21"/>
        </w:rPr>
        <w:t>其他能够证明债权成立的依据。</w:t>
      </w:r>
    </w:p>
    <w:p w14:paraId="0CFD274D">
      <w:pPr>
        <w:pStyle w:val="9"/>
        <w:spacing w:line="360" w:lineRule="auto"/>
        <w:ind w:firstLine="31680"/>
        <w:rPr>
          <w:szCs w:val="21"/>
        </w:rPr>
      </w:pPr>
      <w:r>
        <w:rPr>
          <w:rFonts w:hint="eastAsia"/>
          <w:bCs/>
          <w:szCs w:val="21"/>
        </w:rPr>
        <w:t>提交的上述（</w:t>
      </w:r>
      <w:r>
        <w:rPr>
          <w:bCs/>
          <w:szCs w:val="21"/>
        </w:rPr>
        <w:t>1</w:t>
      </w:r>
      <w:r>
        <w:rPr>
          <w:rFonts w:hint="eastAsia"/>
          <w:bCs/>
          <w:szCs w:val="21"/>
        </w:rPr>
        <w:t>）至（</w:t>
      </w:r>
      <w:r>
        <w:rPr>
          <w:bCs/>
          <w:szCs w:val="21"/>
        </w:rPr>
        <w:t>7</w:t>
      </w:r>
      <w:r>
        <w:rPr>
          <w:rFonts w:hint="eastAsia"/>
          <w:bCs/>
          <w:szCs w:val="21"/>
        </w:rPr>
        <w:t>）项申报债权证据应提交原件（原件核对后归还）一份、复印件二份（盖章或签字确认）。</w:t>
      </w:r>
    </w:p>
    <w:p w14:paraId="6BD8316D">
      <w:pPr>
        <w:spacing w:line="360" w:lineRule="auto"/>
        <w:ind w:firstLine="420" w:firstLineChars="200"/>
        <w:rPr>
          <w:b/>
          <w:bCs/>
          <w:szCs w:val="21"/>
        </w:rPr>
      </w:pPr>
      <w:r>
        <w:rPr>
          <w:rFonts w:hint="eastAsia"/>
          <w:b/>
          <w:bCs/>
          <w:szCs w:val="21"/>
        </w:rPr>
        <w:t>五、填写表格需注意的问题</w:t>
      </w:r>
    </w:p>
    <w:p w14:paraId="1C9DC13B">
      <w:pPr>
        <w:pStyle w:val="9"/>
        <w:numPr>
          <w:ilvl w:val="0"/>
          <w:numId w:val="7"/>
        </w:numPr>
        <w:spacing w:line="360" w:lineRule="auto"/>
        <w:ind w:firstLine="31680"/>
        <w:rPr>
          <w:szCs w:val="21"/>
        </w:rPr>
      </w:pPr>
      <w:r>
        <w:rPr>
          <w:rFonts w:hint="eastAsia"/>
          <w:szCs w:val="21"/>
        </w:rPr>
        <w:t>申报债权的金额：申报的债权金额必须确定（针对同一债务人，同一法人、组织或个人只能申报一个债权总额）。</w:t>
      </w:r>
    </w:p>
    <w:p w14:paraId="1A17A992">
      <w:pPr>
        <w:pStyle w:val="9"/>
        <w:numPr>
          <w:ilvl w:val="0"/>
          <w:numId w:val="7"/>
        </w:numPr>
        <w:spacing w:line="360" w:lineRule="auto"/>
        <w:ind w:firstLine="31680"/>
        <w:rPr>
          <w:b/>
          <w:bCs/>
          <w:szCs w:val="21"/>
        </w:rPr>
      </w:pPr>
      <w:r>
        <w:rPr>
          <w:rFonts w:hint="eastAsia"/>
          <w:szCs w:val="21"/>
        </w:rPr>
        <w:t>利息债权：附利息的债权，利息计算到破产申请受理前一日</w:t>
      </w:r>
      <w:r>
        <w:rPr>
          <w:color w:val="0000FF"/>
          <w:szCs w:val="21"/>
          <w:u w:val="single"/>
        </w:rPr>
        <w:t>20</w:t>
      </w:r>
      <w:r>
        <w:rPr>
          <w:rFonts w:hint="eastAsia"/>
          <w:color w:val="0000FF"/>
          <w:szCs w:val="21"/>
          <w:u w:val="single"/>
          <w:lang w:val="en-US" w:eastAsia="zh-CN"/>
        </w:rPr>
        <w:t>25</w:t>
      </w:r>
      <w:r>
        <w:rPr>
          <w:rFonts w:hint="eastAsia"/>
          <w:color w:val="0000FF"/>
          <w:szCs w:val="21"/>
          <w:u w:val="single"/>
        </w:rPr>
        <w:t>年</w:t>
      </w:r>
      <w:r>
        <w:rPr>
          <w:rFonts w:hint="eastAsia"/>
          <w:color w:val="0000FF"/>
          <w:szCs w:val="21"/>
          <w:u w:val="single"/>
          <w:lang w:val="en-US" w:eastAsia="zh-CN"/>
        </w:rPr>
        <w:t>3</w:t>
      </w:r>
      <w:r>
        <w:rPr>
          <w:rFonts w:hint="eastAsia"/>
          <w:color w:val="0000FF"/>
          <w:szCs w:val="21"/>
          <w:u w:val="single"/>
        </w:rPr>
        <w:t>月</w:t>
      </w:r>
      <w:r>
        <w:rPr>
          <w:rFonts w:hint="eastAsia"/>
          <w:color w:val="0000FF"/>
          <w:szCs w:val="21"/>
          <w:u w:val="single"/>
          <w:lang w:val="en-US" w:eastAsia="zh-CN"/>
        </w:rPr>
        <w:t>3</w:t>
      </w:r>
      <w:r>
        <w:rPr>
          <w:rFonts w:hint="eastAsia"/>
          <w:color w:val="0000FF"/>
          <w:szCs w:val="21"/>
          <w:u w:val="single"/>
        </w:rPr>
        <w:t>日</w:t>
      </w:r>
      <w:r>
        <w:rPr>
          <w:rFonts w:hint="eastAsia"/>
          <w:szCs w:val="21"/>
        </w:rPr>
        <w:t>。</w:t>
      </w:r>
      <w:r>
        <w:rPr>
          <w:rFonts w:hint="eastAsia"/>
          <w:b/>
          <w:bCs/>
          <w:szCs w:val="21"/>
        </w:rPr>
        <w:t>申报人应提供利息计算表，说明利息的计算依据、计算方法和计算结果，同时将正常利息与罚息、迟延利息、滞纳金等分开计算。</w:t>
      </w:r>
    </w:p>
    <w:p w14:paraId="3F157331">
      <w:pPr>
        <w:pStyle w:val="9"/>
        <w:numPr>
          <w:ilvl w:val="0"/>
          <w:numId w:val="7"/>
        </w:numPr>
        <w:spacing w:line="360" w:lineRule="auto"/>
        <w:ind w:firstLine="31680"/>
        <w:rPr>
          <w:szCs w:val="21"/>
        </w:rPr>
      </w:pPr>
      <w:r>
        <w:rPr>
          <w:rFonts w:hint="eastAsia"/>
          <w:szCs w:val="21"/>
        </w:rPr>
        <w:t>债权发生情况：简要陈述该债权的形成经过，另外对</w:t>
      </w:r>
      <w:r>
        <w:rPr>
          <w:rFonts w:hint="eastAsia"/>
          <w:b/>
          <w:bCs/>
          <w:szCs w:val="21"/>
        </w:rPr>
        <w:t>已开票金额和未开票金额</w:t>
      </w:r>
      <w:r>
        <w:rPr>
          <w:rFonts w:hint="eastAsia"/>
          <w:szCs w:val="21"/>
        </w:rPr>
        <w:t>应填写清楚；若涉及合同关系则该</w:t>
      </w:r>
      <w:r>
        <w:rPr>
          <w:rFonts w:hint="eastAsia"/>
          <w:b/>
          <w:bCs/>
          <w:szCs w:val="21"/>
        </w:rPr>
        <w:t>合同是否已经履行完毕</w:t>
      </w:r>
      <w:r>
        <w:rPr>
          <w:rFonts w:hint="eastAsia"/>
          <w:szCs w:val="21"/>
        </w:rPr>
        <w:t>要填写清楚。</w:t>
      </w:r>
    </w:p>
    <w:p w14:paraId="26AF99E0">
      <w:pPr>
        <w:spacing w:line="360" w:lineRule="auto"/>
        <w:ind w:firstLine="420" w:firstLineChars="200"/>
        <w:rPr>
          <w:b/>
          <w:bCs/>
          <w:szCs w:val="21"/>
        </w:rPr>
      </w:pPr>
      <w:r>
        <w:rPr>
          <w:rFonts w:hint="eastAsia"/>
          <w:b/>
          <w:bCs/>
          <w:szCs w:val="21"/>
        </w:rPr>
        <w:t>六、债权申报地点</w:t>
      </w:r>
    </w:p>
    <w:p w14:paraId="0BA245E7">
      <w:pPr>
        <w:spacing w:line="360" w:lineRule="auto"/>
        <w:ind w:firstLine="420" w:firstLineChars="200"/>
        <w:rPr>
          <w:szCs w:val="21"/>
        </w:rPr>
      </w:pPr>
      <w:r>
        <w:rPr>
          <w:rFonts w:hint="eastAsia"/>
          <w:szCs w:val="21"/>
        </w:rPr>
        <w:t>债权人应在指定申报地点进行申报，并务必携带债权申报证据原件以便与管理人核对，债权人未能在管理人确定的时间内提供证据原件核对的，债权人承担由此引起的不利后果。</w:t>
      </w:r>
    </w:p>
    <w:p w14:paraId="79795D89">
      <w:pPr>
        <w:spacing w:line="360" w:lineRule="auto"/>
        <w:ind w:firstLine="420" w:firstLineChars="200"/>
        <w:rPr>
          <w:rFonts w:hint="eastAsia"/>
          <w:szCs w:val="21"/>
          <w:lang w:val="en-US" w:eastAsia="zh-CN"/>
        </w:rPr>
      </w:pPr>
      <w:r>
        <w:rPr>
          <w:rFonts w:hint="eastAsia"/>
          <w:szCs w:val="21"/>
          <w:lang w:val="en-US" w:eastAsia="zh-CN"/>
        </w:rPr>
        <w:t>债权申报地点：宁波市高新区扬帆路999弄研发园B区1幢8楼，邮政编码：315000，联系人：徐律师，联系电话：15336689765。</w:t>
      </w:r>
    </w:p>
    <w:p w14:paraId="0181BA9F">
      <w:pPr>
        <w:spacing w:line="360" w:lineRule="auto"/>
        <w:ind w:firstLine="420" w:firstLineChars="200"/>
        <w:rPr>
          <w:szCs w:val="21"/>
        </w:rPr>
      </w:pPr>
    </w:p>
    <w:p w14:paraId="306586EA">
      <w:pPr>
        <w:widowControl/>
        <w:shd w:val="clear" w:color="auto" w:fill="FFFFFF"/>
        <w:spacing w:line="270" w:lineRule="atLeast"/>
        <w:ind w:firstLine="420" w:firstLineChars="200"/>
        <w:jc w:val="left"/>
        <w:rPr>
          <w:szCs w:val="21"/>
        </w:rPr>
      </w:pPr>
    </w:p>
    <w:p w14:paraId="7A8B3CC0">
      <w:pPr>
        <w:spacing w:line="360" w:lineRule="auto"/>
        <w:ind w:firstLine="420" w:firstLineChars="200"/>
        <w:jc w:val="right"/>
        <w:rPr>
          <w:rFonts w:hint="eastAsia"/>
          <w:szCs w:val="21"/>
          <w:lang w:eastAsia="zh-CN"/>
        </w:rPr>
      </w:pPr>
      <w:r>
        <w:rPr>
          <w:rFonts w:hint="eastAsia"/>
          <w:szCs w:val="21"/>
          <w:lang w:val="en-US" w:eastAsia="zh-CN"/>
        </w:rPr>
        <w:t>宁波奉化精密铸造厂管</w:t>
      </w:r>
      <w:r>
        <w:rPr>
          <w:rFonts w:hint="eastAsia"/>
          <w:szCs w:val="21"/>
          <w:lang w:eastAsia="zh-CN"/>
        </w:rPr>
        <w:t>理人</w:t>
      </w:r>
    </w:p>
    <w:p w14:paraId="6B692A92">
      <w:pPr>
        <w:pStyle w:val="9"/>
        <w:spacing w:line="360" w:lineRule="auto"/>
        <w:ind w:firstLine="31680"/>
        <w:jc w:val="right"/>
        <w:rPr>
          <w:rFonts w:hint="eastAsia"/>
          <w:szCs w:val="21"/>
        </w:rPr>
      </w:pPr>
      <w:r>
        <w:rPr>
          <w:szCs w:val="21"/>
        </w:rPr>
        <w:t>20</w:t>
      </w:r>
      <w:r>
        <w:rPr>
          <w:rFonts w:hint="eastAsia"/>
          <w:szCs w:val="21"/>
          <w:lang w:val="en-US" w:eastAsia="zh-CN"/>
        </w:rPr>
        <w:t>25</w:t>
      </w:r>
      <w:r>
        <w:rPr>
          <w:rFonts w:hint="eastAsia"/>
          <w:szCs w:val="21"/>
        </w:rPr>
        <w:t>年</w:t>
      </w:r>
      <w:r>
        <w:rPr>
          <w:rFonts w:hint="eastAsia"/>
          <w:szCs w:val="21"/>
          <w:lang w:val="en-US" w:eastAsia="zh-CN"/>
        </w:rPr>
        <w:t>3</w:t>
      </w:r>
      <w:r>
        <w:rPr>
          <w:rFonts w:hint="eastAsia"/>
          <w:szCs w:val="21"/>
        </w:rPr>
        <w:t>月</w:t>
      </w:r>
      <w:r>
        <w:rPr>
          <w:rFonts w:hint="eastAsia"/>
          <w:szCs w:val="21"/>
          <w:lang w:val="en-US" w:eastAsia="zh-CN"/>
        </w:rPr>
        <w:t xml:space="preserve"> 7</w:t>
      </w:r>
      <w:bookmarkStart w:id="0" w:name="_GoBack"/>
      <w:bookmarkEnd w:id="0"/>
      <w:r>
        <w:rPr>
          <w:rFonts w:hint="eastAsia"/>
          <w:szCs w:val="21"/>
          <w:lang w:val="en-US" w:eastAsia="zh-CN"/>
        </w:rPr>
        <w:t xml:space="preserve"> </w:t>
      </w:r>
      <w:r>
        <w:rPr>
          <w:rFonts w:hint="eastAsia"/>
          <w:szCs w:val="21"/>
        </w:rPr>
        <w:t>日</w:t>
      </w:r>
    </w:p>
    <w:p w14:paraId="66EB30A5">
      <w:pPr>
        <w:pStyle w:val="9"/>
        <w:spacing w:line="360" w:lineRule="auto"/>
        <w:ind w:firstLine="31680"/>
        <w:jc w:val="right"/>
        <w:rPr>
          <w:rFonts w:hint="eastAsia"/>
          <w:sz w:val="24"/>
          <w:szCs w:val="24"/>
        </w:rPr>
      </w:pPr>
    </w:p>
    <w:p w14:paraId="06B134B9">
      <w:pPr>
        <w:pStyle w:val="4"/>
        <w:spacing w:before="0" w:beforeAutospacing="0" w:after="0" w:afterAutospacing="0" w:line="360" w:lineRule="atLeast"/>
        <w:jc w:val="both"/>
        <w:rPr>
          <w:rFonts w:hint="eastAsia" w:cs="Arial"/>
          <w:b/>
          <w:bCs/>
          <w:color w:val="000000"/>
          <w:sz w:val="24"/>
          <w:szCs w:val="24"/>
          <w:highlight w:val="yellow"/>
          <w:lang w:val="en-US" w:eastAsia="zh-CN"/>
        </w:rPr>
      </w:pPr>
      <w:r>
        <w:rPr>
          <w:rFonts w:hint="eastAsia" w:cs="Arial"/>
          <w:b/>
          <w:bCs/>
          <w:color w:val="000000"/>
          <w:sz w:val="24"/>
          <w:szCs w:val="24"/>
          <w:highlight w:val="yellow"/>
          <w:lang w:val="en-US" w:eastAsia="zh-CN"/>
        </w:rPr>
        <w:t>电子版债权申报材料下载地址：</w:t>
      </w:r>
    </w:p>
    <w:p w14:paraId="3BDBA31F">
      <w:pPr>
        <w:pStyle w:val="4"/>
        <w:spacing w:before="0" w:beforeAutospacing="0" w:after="0" w:afterAutospacing="0" w:line="360" w:lineRule="atLeast"/>
        <w:ind w:firstLine="480" w:firstLineChars="200"/>
        <w:jc w:val="both"/>
        <w:rPr>
          <w:rFonts w:hint="default" w:eastAsia="宋体" w:cs="Arial"/>
          <w:b/>
          <w:bCs/>
          <w:color w:val="000000"/>
          <w:sz w:val="24"/>
          <w:szCs w:val="24"/>
          <w:highlight w:val="yellow"/>
          <w:lang w:val="en-US" w:eastAsia="zh-CN"/>
        </w:rPr>
      </w:pPr>
      <w:r>
        <w:rPr>
          <w:rFonts w:hint="eastAsia" w:cs="Arial"/>
          <w:b/>
          <w:bCs/>
          <w:color w:val="000000"/>
          <w:sz w:val="24"/>
          <w:szCs w:val="24"/>
          <w:highlight w:val="yellow"/>
          <w:lang w:val="en-US" w:eastAsia="zh-CN"/>
        </w:rPr>
        <w:t>浙江素豪律师事务所网站 http://www.suhaolaw.com“新闻动态”中下载</w:t>
      </w:r>
    </w:p>
    <w:p w14:paraId="2976324C">
      <w:pPr>
        <w:pStyle w:val="4"/>
        <w:spacing w:before="0" w:beforeAutospacing="0" w:after="0" w:afterAutospacing="0" w:line="360" w:lineRule="atLeast"/>
        <w:jc w:val="both"/>
        <w:rPr>
          <w:rFonts w:hint="eastAsia" w:cs="Arial"/>
          <w:b/>
          <w:bCs/>
          <w:color w:val="000000"/>
          <w:sz w:val="24"/>
          <w:szCs w:val="24"/>
        </w:rPr>
      </w:pPr>
    </w:p>
    <w:p w14:paraId="0524D0C8">
      <w:pPr>
        <w:pStyle w:val="4"/>
        <w:spacing w:before="0" w:beforeAutospacing="0" w:after="0" w:afterAutospacing="0" w:line="360" w:lineRule="atLeast"/>
        <w:jc w:val="both"/>
        <w:rPr>
          <w:rFonts w:hint="eastAsia" w:cs="Arial"/>
          <w:b/>
          <w:bCs/>
          <w:color w:val="000000"/>
          <w:sz w:val="24"/>
          <w:szCs w:val="24"/>
        </w:rPr>
      </w:pPr>
    </w:p>
    <w:p w14:paraId="3FE2C5C6">
      <w:pPr>
        <w:pStyle w:val="4"/>
        <w:spacing w:before="0" w:beforeAutospacing="0" w:after="0" w:afterAutospacing="0" w:line="360" w:lineRule="atLeast"/>
        <w:jc w:val="both"/>
        <w:rPr>
          <w:rFonts w:hint="eastAsia" w:cs="Arial"/>
          <w:b/>
          <w:bCs/>
          <w:color w:val="000000"/>
          <w:sz w:val="24"/>
          <w:szCs w:val="24"/>
        </w:rPr>
      </w:pPr>
    </w:p>
    <w:p w14:paraId="5E08B169">
      <w:pPr>
        <w:pStyle w:val="4"/>
        <w:spacing w:before="0" w:beforeAutospacing="0" w:after="0" w:afterAutospacing="0" w:line="360" w:lineRule="atLeast"/>
        <w:jc w:val="both"/>
        <w:rPr>
          <w:rFonts w:hint="eastAsia" w:cs="Arial"/>
          <w:b/>
          <w:bCs/>
          <w:color w:val="000000"/>
          <w:sz w:val="24"/>
          <w:szCs w:val="24"/>
        </w:rPr>
      </w:pPr>
    </w:p>
    <w:p w14:paraId="627A20A0">
      <w:pPr>
        <w:pStyle w:val="4"/>
        <w:spacing w:before="0" w:beforeAutospacing="0" w:after="0" w:afterAutospacing="0" w:line="360" w:lineRule="atLeast"/>
        <w:jc w:val="both"/>
        <w:rPr>
          <w:rFonts w:hint="eastAsia" w:cs="Arial"/>
          <w:b/>
          <w:bCs/>
          <w:color w:val="000000"/>
          <w:sz w:val="24"/>
          <w:szCs w:val="24"/>
        </w:rPr>
      </w:pPr>
    </w:p>
    <w:p w14:paraId="0D11E578">
      <w:pPr>
        <w:pStyle w:val="4"/>
        <w:spacing w:before="0" w:beforeAutospacing="0" w:after="0" w:afterAutospacing="0" w:line="360" w:lineRule="atLeast"/>
        <w:jc w:val="both"/>
        <w:rPr>
          <w:rFonts w:hint="eastAsia" w:cs="Arial"/>
          <w:b/>
          <w:bCs/>
          <w:color w:val="000000"/>
          <w:sz w:val="24"/>
          <w:szCs w:val="24"/>
        </w:rPr>
      </w:pPr>
    </w:p>
    <w:p w14:paraId="1A93083F">
      <w:pPr>
        <w:pStyle w:val="4"/>
        <w:spacing w:before="0" w:beforeAutospacing="0" w:after="0" w:afterAutospacing="0" w:line="360" w:lineRule="atLeast"/>
        <w:ind w:firstLine="480" w:firstLineChars="200"/>
        <w:jc w:val="both"/>
        <w:rPr>
          <w:rFonts w:hint="eastAsia" w:cs="Arial"/>
          <w:b/>
          <w:bCs/>
          <w:color w:val="000000"/>
          <w:sz w:val="24"/>
          <w:szCs w:val="24"/>
        </w:rPr>
      </w:pPr>
      <w:r>
        <w:rPr>
          <w:rFonts w:hint="eastAsia" w:cs="Arial"/>
          <w:b/>
          <w:bCs/>
          <w:color w:val="000000"/>
          <w:sz w:val="24"/>
          <w:szCs w:val="24"/>
        </w:rPr>
        <w:t>特别提示：</w:t>
      </w:r>
    </w:p>
    <w:p w14:paraId="7795DB05">
      <w:pPr>
        <w:pStyle w:val="4"/>
        <w:spacing w:before="0" w:beforeAutospacing="0" w:after="0" w:afterAutospacing="0" w:line="360" w:lineRule="atLeast"/>
        <w:ind w:firstLine="480" w:firstLineChars="200"/>
        <w:jc w:val="both"/>
        <w:rPr>
          <w:rFonts w:hint="eastAsia" w:cs="Arial"/>
          <w:color w:val="000000"/>
          <w:sz w:val="24"/>
          <w:szCs w:val="24"/>
        </w:rPr>
      </w:pPr>
    </w:p>
    <w:p w14:paraId="0BBDF6AB">
      <w:pPr>
        <w:pStyle w:val="4"/>
        <w:spacing w:before="0" w:beforeAutospacing="0" w:after="0" w:afterAutospacing="0" w:line="360" w:lineRule="atLeast"/>
        <w:ind w:firstLine="420" w:firstLineChars="200"/>
        <w:jc w:val="both"/>
        <w:rPr>
          <w:rFonts w:hint="eastAsia" w:ascii="Calibri" w:hAnsi="Calibri" w:eastAsia="宋体" w:cs="Times New Roman"/>
          <w:spacing w:val="0"/>
          <w:kern w:val="2"/>
          <w:sz w:val="21"/>
          <w:szCs w:val="21"/>
          <w:lang w:val="en-US" w:eastAsia="zh-CN" w:bidi="ar-SA"/>
        </w:rPr>
      </w:pPr>
      <w:r>
        <w:rPr>
          <w:rFonts w:hint="eastAsia" w:ascii="Calibri" w:hAnsi="Calibri" w:eastAsia="宋体" w:cs="Times New Roman"/>
          <w:spacing w:val="0"/>
          <w:kern w:val="2"/>
          <w:sz w:val="21"/>
          <w:szCs w:val="21"/>
          <w:lang w:val="en-US" w:eastAsia="zh-CN" w:bidi="ar-SA"/>
        </w:rPr>
        <w:t>根据《最高人民法院 最高人民检察院关于办理虚假诉讼刑事案件适用法律若干问题的解释》（法释〔2018〕17号）第一条第五款之规定：在破产案件审理过程中申报捏造的债权的，应当认定为刑法第三百零七条之一第一款规定的“以捏造的事实提起民事诉讼”。债权人虚假申报债权或提供虚假申报材料，损害其他债权人利益的，管理人将依法移送公安机关或人民法院追究其法律责任。</w:t>
      </w:r>
    </w:p>
    <w:p w14:paraId="08A60391">
      <w:pPr>
        <w:pStyle w:val="9"/>
        <w:spacing w:line="360" w:lineRule="auto"/>
        <w:ind w:left="0" w:leftChars="0" w:firstLine="0" w:firstLineChars="0"/>
        <w:jc w:val="both"/>
        <w:rPr>
          <w:rFonts w:hint="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cs="Times New Roman"/>
      </w:rPr>
    </w:lvl>
    <w:lvl w:ilvl="1" w:tentative="0">
      <w:start w:val="1"/>
      <w:numFmt w:val="lowerLetter"/>
      <w:lvlText w:val="%2)"/>
      <w:lvlJc w:val="left"/>
      <w:pPr>
        <w:ind w:left="2415" w:hanging="420"/>
      </w:pPr>
      <w:rPr>
        <w:rFonts w:cs="Times New Roman"/>
      </w:rPr>
    </w:lvl>
    <w:lvl w:ilvl="2" w:tentative="0">
      <w:start w:val="1"/>
      <w:numFmt w:val="lowerRoman"/>
      <w:lvlText w:val="%3."/>
      <w:lvlJc w:val="right"/>
      <w:pPr>
        <w:ind w:left="2835" w:hanging="420"/>
      </w:pPr>
      <w:rPr>
        <w:rFonts w:cs="Times New Roman"/>
      </w:rPr>
    </w:lvl>
    <w:lvl w:ilvl="3" w:tentative="0">
      <w:start w:val="1"/>
      <w:numFmt w:val="decimal"/>
      <w:lvlText w:val="%4."/>
      <w:lvlJc w:val="left"/>
      <w:pPr>
        <w:ind w:left="3255" w:hanging="420"/>
      </w:pPr>
      <w:rPr>
        <w:rFonts w:cs="Times New Roman"/>
      </w:rPr>
    </w:lvl>
    <w:lvl w:ilvl="4" w:tentative="0">
      <w:start w:val="1"/>
      <w:numFmt w:val="lowerLetter"/>
      <w:lvlText w:val="%5)"/>
      <w:lvlJc w:val="left"/>
      <w:pPr>
        <w:ind w:left="3675" w:hanging="420"/>
      </w:pPr>
      <w:rPr>
        <w:rFonts w:cs="Times New Roman"/>
      </w:rPr>
    </w:lvl>
    <w:lvl w:ilvl="5" w:tentative="0">
      <w:start w:val="1"/>
      <w:numFmt w:val="lowerRoman"/>
      <w:lvlText w:val="%6."/>
      <w:lvlJc w:val="right"/>
      <w:pPr>
        <w:ind w:left="4095" w:hanging="420"/>
      </w:pPr>
      <w:rPr>
        <w:rFonts w:cs="Times New Roman"/>
      </w:rPr>
    </w:lvl>
    <w:lvl w:ilvl="6" w:tentative="0">
      <w:start w:val="1"/>
      <w:numFmt w:val="decimal"/>
      <w:lvlText w:val="%7."/>
      <w:lvlJc w:val="left"/>
      <w:pPr>
        <w:ind w:left="4515" w:hanging="420"/>
      </w:pPr>
      <w:rPr>
        <w:rFonts w:cs="Times New Roman"/>
      </w:rPr>
    </w:lvl>
    <w:lvl w:ilvl="7" w:tentative="0">
      <w:start w:val="1"/>
      <w:numFmt w:val="lowerLetter"/>
      <w:lvlText w:val="%8)"/>
      <w:lvlJc w:val="left"/>
      <w:pPr>
        <w:ind w:left="4935" w:hanging="420"/>
      </w:pPr>
      <w:rPr>
        <w:rFonts w:cs="Times New Roman"/>
      </w:rPr>
    </w:lvl>
    <w:lvl w:ilvl="8" w:tentative="0">
      <w:start w:val="1"/>
      <w:numFmt w:val="lowerRoman"/>
      <w:lvlText w:val="%9."/>
      <w:lvlJc w:val="right"/>
      <w:pPr>
        <w:ind w:left="5355" w:hanging="420"/>
      </w:pPr>
      <w:rPr>
        <w:rFonts w:cs="Times New Roman"/>
      </w:rPr>
    </w:lvl>
  </w:abstractNum>
  <w:abstractNum w:abstractNumId="1">
    <w:nsid w:val="59099E56"/>
    <w:multiLevelType w:val="singleLevel"/>
    <w:tmpl w:val="59099E56"/>
    <w:lvl w:ilvl="0" w:tentative="0">
      <w:start w:val="1"/>
      <w:numFmt w:val="decimal"/>
      <w:suff w:val="nothing"/>
      <w:lvlText w:val="%1．"/>
      <w:lvlJc w:val="left"/>
      <w:pPr>
        <w:ind w:firstLine="400"/>
      </w:pPr>
      <w:rPr>
        <w:rFonts w:hint="default" w:cs="Times New Roman"/>
      </w:rPr>
    </w:lvl>
  </w:abstractNum>
  <w:abstractNum w:abstractNumId="2">
    <w:nsid w:val="59099E81"/>
    <w:multiLevelType w:val="singleLevel"/>
    <w:tmpl w:val="59099E81"/>
    <w:lvl w:ilvl="0" w:tentative="0">
      <w:start w:val="1"/>
      <w:numFmt w:val="decimal"/>
      <w:suff w:val="nothing"/>
      <w:lvlText w:val="%1．"/>
      <w:lvlJc w:val="left"/>
      <w:pPr>
        <w:ind w:firstLine="400"/>
      </w:pPr>
      <w:rPr>
        <w:rFonts w:hint="default" w:cs="Times New Roman"/>
      </w:rPr>
    </w:lvl>
  </w:abstractNum>
  <w:abstractNum w:abstractNumId="3">
    <w:nsid w:val="59099E95"/>
    <w:multiLevelType w:val="singleLevel"/>
    <w:tmpl w:val="59099E95"/>
    <w:lvl w:ilvl="0" w:tentative="0">
      <w:start w:val="1"/>
      <w:numFmt w:val="decimal"/>
      <w:suff w:val="nothing"/>
      <w:lvlText w:val="%1．"/>
      <w:lvlJc w:val="left"/>
      <w:pPr>
        <w:ind w:firstLine="400"/>
      </w:pPr>
      <w:rPr>
        <w:rFonts w:hint="default" w:cs="Times New Roman"/>
      </w:rPr>
    </w:lvl>
  </w:abstractNum>
  <w:abstractNum w:abstractNumId="4">
    <w:nsid w:val="59099F23"/>
    <w:multiLevelType w:val="singleLevel"/>
    <w:tmpl w:val="59099F23"/>
    <w:lvl w:ilvl="0" w:tentative="0">
      <w:start w:val="1"/>
      <w:numFmt w:val="decimal"/>
      <w:suff w:val="nothing"/>
      <w:lvlText w:val="%1．"/>
      <w:lvlJc w:val="left"/>
      <w:pPr>
        <w:ind w:firstLine="400"/>
      </w:pPr>
      <w:rPr>
        <w:rFonts w:hint="default" w:cs="Times New Roman"/>
      </w:rPr>
    </w:lvl>
  </w:abstractNum>
  <w:abstractNum w:abstractNumId="5">
    <w:nsid w:val="5909A997"/>
    <w:multiLevelType w:val="singleLevel"/>
    <w:tmpl w:val="5909A997"/>
    <w:lvl w:ilvl="0" w:tentative="0">
      <w:start w:val="1"/>
      <w:numFmt w:val="decimal"/>
      <w:suff w:val="nothing"/>
      <w:lvlText w:val="（%1）"/>
      <w:lvlJc w:val="left"/>
      <w:pPr>
        <w:ind w:firstLine="420"/>
      </w:pPr>
      <w:rPr>
        <w:rFonts w:hint="default" w:cs="Times New Roman"/>
      </w:rPr>
    </w:lvl>
  </w:abstractNum>
  <w:abstractNum w:abstractNumId="6">
    <w:nsid w:val="75964BB1"/>
    <w:multiLevelType w:val="multilevel"/>
    <w:tmpl w:val="75964BB1"/>
    <w:lvl w:ilvl="0" w:tentative="0">
      <w:start w:val="1"/>
      <w:numFmt w:val="japaneseCounting"/>
      <w:lvlText w:val="%1、"/>
      <w:lvlJc w:val="left"/>
      <w:pPr>
        <w:ind w:left="1155" w:hanging="735"/>
      </w:pPr>
      <w:rPr>
        <w:rFonts w:hint="default"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1"/>
  <w:bordersDoNotSurroundFooter w:val="1"/>
  <w:documentProtection w:enforcement="0"/>
  <w:defaultTabStop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kZjViMGRkYjIyMDdhNmVkZjMxYmJkZGYzYTc4MGMifQ=="/>
  </w:docVars>
  <w:rsids>
    <w:rsidRoot w:val="009E3663"/>
    <w:rsid w:val="00013EF0"/>
    <w:rsid w:val="000237E9"/>
    <w:rsid w:val="00047731"/>
    <w:rsid w:val="000601F4"/>
    <w:rsid w:val="00065874"/>
    <w:rsid w:val="0006789E"/>
    <w:rsid w:val="001120C6"/>
    <w:rsid w:val="001314BB"/>
    <w:rsid w:val="00132AAA"/>
    <w:rsid w:val="001829C1"/>
    <w:rsid w:val="00191FAD"/>
    <w:rsid w:val="001A6FDB"/>
    <w:rsid w:val="001C2437"/>
    <w:rsid w:val="001F6E30"/>
    <w:rsid w:val="0026251D"/>
    <w:rsid w:val="002859EB"/>
    <w:rsid w:val="00286169"/>
    <w:rsid w:val="00295C59"/>
    <w:rsid w:val="002A11CC"/>
    <w:rsid w:val="002B1606"/>
    <w:rsid w:val="002B3508"/>
    <w:rsid w:val="002D4F03"/>
    <w:rsid w:val="002D6147"/>
    <w:rsid w:val="002E1DF1"/>
    <w:rsid w:val="003057C3"/>
    <w:rsid w:val="003113B9"/>
    <w:rsid w:val="00333693"/>
    <w:rsid w:val="003722FC"/>
    <w:rsid w:val="00382049"/>
    <w:rsid w:val="003866A4"/>
    <w:rsid w:val="0039711C"/>
    <w:rsid w:val="003B2563"/>
    <w:rsid w:val="003F6957"/>
    <w:rsid w:val="00431B2B"/>
    <w:rsid w:val="0043783D"/>
    <w:rsid w:val="004530D6"/>
    <w:rsid w:val="00464131"/>
    <w:rsid w:val="00483766"/>
    <w:rsid w:val="004876E5"/>
    <w:rsid w:val="004F47AB"/>
    <w:rsid w:val="0053147F"/>
    <w:rsid w:val="005433C2"/>
    <w:rsid w:val="0057317E"/>
    <w:rsid w:val="005C67EB"/>
    <w:rsid w:val="005D2BF1"/>
    <w:rsid w:val="005E43D8"/>
    <w:rsid w:val="0060758D"/>
    <w:rsid w:val="00613762"/>
    <w:rsid w:val="0063344E"/>
    <w:rsid w:val="00651432"/>
    <w:rsid w:val="006A1994"/>
    <w:rsid w:val="006B7780"/>
    <w:rsid w:val="006D569E"/>
    <w:rsid w:val="0070110C"/>
    <w:rsid w:val="00711EEF"/>
    <w:rsid w:val="00711F44"/>
    <w:rsid w:val="007201C9"/>
    <w:rsid w:val="00723B53"/>
    <w:rsid w:val="00762067"/>
    <w:rsid w:val="00785026"/>
    <w:rsid w:val="007A4F46"/>
    <w:rsid w:val="007A6119"/>
    <w:rsid w:val="007D1975"/>
    <w:rsid w:val="00805938"/>
    <w:rsid w:val="00806814"/>
    <w:rsid w:val="00816AB5"/>
    <w:rsid w:val="00832321"/>
    <w:rsid w:val="00890D28"/>
    <w:rsid w:val="008A4ED4"/>
    <w:rsid w:val="008F3D32"/>
    <w:rsid w:val="0090672A"/>
    <w:rsid w:val="00926E8D"/>
    <w:rsid w:val="00973EEE"/>
    <w:rsid w:val="009C44DA"/>
    <w:rsid w:val="009C5BF4"/>
    <w:rsid w:val="009C5DE1"/>
    <w:rsid w:val="009E3663"/>
    <w:rsid w:val="00A25364"/>
    <w:rsid w:val="00A3088B"/>
    <w:rsid w:val="00A37DB6"/>
    <w:rsid w:val="00A45E27"/>
    <w:rsid w:val="00A81882"/>
    <w:rsid w:val="00A9173B"/>
    <w:rsid w:val="00A962F6"/>
    <w:rsid w:val="00AC7A90"/>
    <w:rsid w:val="00AD0B2A"/>
    <w:rsid w:val="00B314FE"/>
    <w:rsid w:val="00B36BFA"/>
    <w:rsid w:val="00B64BBA"/>
    <w:rsid w:val="00B73155"/>
    <w:rsid w:val="00BA5D17"/>
    <w:rsid w:val="00BC6CC8"/>
    <w:rsid w:val="00BD53EF"/>
    <w:rsid w:val="00BE79B5"/>
    <w:rsid w:val="00C07C79"/>
    <w:rsid w:val="00C20C1F"/>
    <w:rsid w:val="00C3478F"/>
    <w:rsid w:val="00CA1A56"/>
    <w:rsid w:val="00CB1AE5"/>
    <w:rsid w:val="00CB56BA"/>
    <w:rsid w:val="00CC2D74"/>
    <w:rsid w:val="00CF4AFA"/>
    <w:rsid w:val="00D068F5"/>
    <w:rsid w:val="00D14F93"/>
    <w:rsid w:val="00D2582A"/>
    <w:rsid w:val="00D31340"/>
    <w:rsid w:val="00D3460E"/>
    <w:rsid w:val="00D36129"/>
    <w:rsid w:val="00D566F1"/>
    <w:rsid w:val="00DA0B05"/>
    <w:rsid w:val="00DA402E"/>
    <w:rsid w:val="00DC7D11"/>
    <w:rsid w:val="00DE116B"/>
    <w:rsid w:val="00DF24E8"/>
    <w:rsid w:val="00DF24EF"/>
    <w:rsid w:val="00E17A0C"/>
    <w:rsid w:val="00E32FA2"/>
    <w:rsid w:val="00EB57D5"/>
    <w:rsid w:val="00EC5529"/>
    <w:rsid w:val="00EE38C2"/>
    <w:rsid w:val="00F44ABF"/>
    <w:rsid w:val="00F661F5"/>
    <w:rsid w:val="00F866AF"/>
    <w:rsid w:val="00FA1F12"/>
    <w:rsid w:val="00FC374C"/>
    <w:rsid w:val="00FE5450"/>
    <w:rsid w:val="013C0EB1"/>
    <w:rsid w:val="06AC0A3E"/>
    <w:rsid w:val="0CD455FA"/>
    <w:rsid w:val="10D35A15"/>
    <w:rsid w:val="12A05B91"/>
    <w:rsid w:val="1CD21B7F"/>
    <w:rsid w:val="247057F2"/>
    <w:rsid w:val="28E4174D"/>
    <w:rsid w:val="29D4705B"/>
    <w:rsid w:val="2A3C6C1F"/>
    <w:rsid w:val="30097120"/>
    <w:rsid w:val="37535035"/>
    <w:rsid w:val="383B2DC8"/>
    <w:rsid w:val="385C081F"/>
    <w:rsid w:val="39E160A8"/>
    <w:rsid w:val="40E20AB5"/>
    <w:rsid w:val="47EC192A"/>
    <w:rsid w:val="48F827D5"/>
    <w:rsid w:val="48FB7A2E"/>
    <w:rsid w:val="494C2325"/>
    <w:rsid w:val="4A862F3F"/>
    <w:rsid w:val="4CE4734E"/>
    <w:rsid w:val="535B7A26"/>
    <w:rsid w:val="538A41C6"/>
    <w:rsid w:val="555C6592"/>
    <w:rsid w:val="59603241"/>
    <w:rsid w:val="63EC5A28"/>
    <w:rsid w:val="66DE0034"/>
    <w:rsid w:val="69216C99"/>
    <w:rsid w:val="6EBF1C7D"/>
    <w:rsid w:val="75EE353D"/>
    <w:rsid w:val="76DE5D29"/>
    <w:rsid w:val="BBFF565C"/>
    <w:rsid w:val="FFBE0A4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kern w:val="0"/>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qFormat/>
    <w:uiPriority w:val="0"/>
    <w:pPr>
      <w:widowControl/>
      <w:spacing w:before="100" w:beforeAutospacing="1" w:after="100" w:afterAutospacing="1"/>
      <w:jc w:val="left"/>
    </w:pPr>
    <w:rPr>
      <w:rFonts w:cs="宋体"/>
      <w:spacing w:val="0"/>
      <w:kern w:val="0"/>
      <w:sz w:val="24"/>
      <w:szCs w:val="24"/>
    </w:rPr>
  </w:style>
  <w:style w:type="character" w:customStyle="1" w:styleId="7">
    <w:name w:val="Footer Char"/>
    <w:basedOn w:val="6"/>
    <w:link w:val="2"/>
    <w:semiHidden/>
    <w:qFormat/>
    <w:locked/>
    <w:uiPriority w:val="99"/>
    <w:rPr>
      <w:rFonts w:cs="Times New Roman"/>
      <w:sz w:val="18"/>
    </w:rPr>
  </w:style>
  <w:style w:type="character" w:customStyle="1" w:styleId="8">
    <w:name w:val="Header Char"/>
    <w:basedOn w:val="6"/>
    <w:link w:val="3"/>
    <w:semiHidden/>
    <w:qFormat/>
    <w:locked/>
    <w:uiPriority w:val="99"/>
    <w:rPr>
      <w:rFonts w:cs="Times New Roman"/>
      <w:sz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4</Pages>
  <Words>2760</Words>
  <Characters>2838</Characters>
  <Lines>0</Lines>
  <Paragraphs>0</Paragraphs>
  <TotalTime>12</TotalTime>
  <ScaleCrop>false</ScaleCrop>
  <LinksUpToDate>false</LinksUpToDate>
  <CharactersWithSpaces>2842</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2019-01-26T01:53:00Z</dcterms:created>
  <dc:creator>lenovo</dc:creator>
  <cp:lastModifiedBy>琪哥不瘦十斤不改名</cp:lastModifiedBy>
  <dcterms:modified xsi:type="dcterms:W3CDTF">2025-03-07T16:01:49Z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CB84E1BEB96F9BEF6EA0CA6703D625CC_43</vt:lpwstr>
  </property>
  <property fmtid="{D5CDD505-2E9C-101B-9397-08002B2CF9AE}" pid="4" name="KSOTemplateDocerSaveRecord">
    <vt:lpwstr>eyJoZGlkIjoiZWNkZjViMGRkYjIyMDdhNmVkZjMxYmJkZGYzYTc4MGMifQ==</vt:lpwstr>
  </property>
</Properties>
</file>